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E8EEA6">
      <w:pPr>
        <w:pStyle w:val="2"/>
        <w:keepNext w:val="0"/>
        <w:keepLines w:val="0"/>
        <w:widowControl/>
        <w:suppressLineNumbers w:val="0"/>
        <w:shd w:val="clear" w:fill="FFFFFF"/>
        <w:spacing w:after="0" w:afterAutospacing="0"/>
        <w:jc w:val="center"/>
        <w:rPr>
          <w:rFonts w:hint="eastAsia" w:ascii="微软雅黑" w:hAnsi="微软雅黑" w:eastAsia="微软雅黑" w:cs="微软雅黑"/>
          <w:spacing w:val="7"/>
          <w:sz w:val="28"/>
          <w:szCs w:val="28"/>
        </w:rPr>
      </w:pPr>
      <w:bookmarkStart w:id="0" w:name="_GoBack"/>
      <w:r>
        <w:rPr>
          <w:rFonts w:hint="eastAsia" w:ascii="微软雅黑" w:hAnsi="微软雅黑" w:eastAsia="微软雅黑" w:cs="微软雅黑"/>
          <w:spacing w:val="7"/>
          <w:sz w:val="28"/>
          <w:szCs w:val="28"/>
        </w:rPr>
        <w:t>党的二十届三中全会《决定》系列名词解读</w:t>
      </w:r>
    </w:p>
    <w:bookmarkEnd w:id="0"/>
    <w:p w14:paraId="6A9AC45E">
      <w:pPr>
        <w:pStyle w:val="2"/>
        <w:keepNext w:val="0"/>
        <w:keepLines w:val="0"/>
        <w:widowControl/>
        <w:suppressLineNumbers w:val="0"/>
        <w:shd w:val="clear" w:fill="FFFFFF"/>
        <w:spacing w:after="0" w:afterAutospacing="0"/>
        <w:jc w:val="center"/>
        <w:rPr>
          <w:rFonts w:hint="eastAsia" w:ascii="微软雅黑" w:hAnsi="微软雅黑" w:eastAsia="微软雅黑" w:cs="微软雅黑"/>
          <w:spacing w:val="7"/>
          <w:sz w:val="28"/>
          <w:szCs w:val="28"/>
        </w:rPr>
      </w:pPr>
    </w:p>
    <w:p w14:paraId="1D1876BE">
      <w:pPr>
        <w:keepNext w:val="0"/>
        <w:keepLines w:val="0"/>
        <w:widowControl/>
        <w:suppressLineNumbers w:val="0"/>
        <w:spacing w:after="240" w:afterAutospacing="0"/>
        <w:jc w:val="left"/>
      </w:pPr>
      <w:r>
        <w:rPr>
          <w:rStyle w:val="5"/>
          <w:rFonts w:ascii="宋体" w:hAnsi="宋体" w:eastAsia="宋体" w:cs="宋体"/>
          <w:kern w:val="0"/>
          <w:sz w:val="24"/>
          <w:szCs w:val="24"/>
          <w:lang w:val="en-US" w:eastAsia="zh-CN" w:bidi="ar"/>
        </w:rPr>
        <w:t>1. 增信制度</w:t>
      </w:r>
    </w:p>
    <w:p w14:paraId="0E14E9AD">
      <w:pPr>
        <w:pStyle w:val="2"/>
        <w:keepNext w:val="0"/>
        <w:keepLines w:val="0"/>
        <w:widowControl/>
        <w:suppressLineNumbers w:val="0"/>
      </w:pPr>
      <w:r>
        <w:t>增信制度是指以担保、保险、信用衍生工具、结构化金融产品或法律、法规、政策以及行业自律规范文件明确的其他有效形式，为提升融资主体债务信用等级、增强债务履约保障水平、提高融资可得性、降低融资成本，帮助债权人分散、转移信用风险的一种专业性金融服务安排。</w:t>
      </w:r>
    </w:p>
    <w:p w14:paraId="17CC9E93">
      <w:pPr>
        <w:pStyle w:val="2"/>
        <w:keepNext w:val="0"/>
        <w:keepLines w:val="0"/>
        <w:widowControl/>
        <w:suppressLineNumbers w:val="0"/>
        <w:shd w:val="clear" w:fill="FFFFFF"/>
        <w:spacing w:after="0" w:afterAutospacing="0"/>
        <w:rPr>
          <w:rFonts w:hint="eastAsia" w:ascii="微软雅黑" w:hAnsi="微软雅黑" w:eastAsia="微软雅黑" w:cs="微软雅黑"/>
          <w:spacing w:val="7"/>
        </w:rPr>
      </w:pPr>
    </w:p>
    <w:p w14:paraId="7871F937">
      <w:pPr>
        <w:keepNext w:val="0"/>
        <w:keepLines w:val="0"/>
        <w:widowControl/>
        <w:suppressLineNumbers w:val="0"/>
        <w:spacing w:after="240" w:afterAutospacing="0"/>
        <w:jc w:val="left"/>
      </w:pPr>
      <w:r>
        <w:rPr>
          <w:rStyle w:val="5"/>
          <w:rFonts w:ascii="宋体" w:hAnsi="宋体" w:eastAsia="宋体" w:cs="宋体"/>
          <w:kern w:val="0"/>
          <w:sz w:val="24"/>
          <w:szCs w:val="24"/>
          <w:lang w:val="en-US" w:eastAsia="zh-CN" w:bidi="ar"/>
        </w:rPr>
        <w:t>2. 首发经济</w:t>
      </w:r>
    </w:p>
    <w:p w14:paraId="72C81322">
      <w:pPr>
        <w:pStyle w:val="2"/>
        <w:keepNext w:val="0"/>
        <w:keepLines w:val="0"/>
        <w:widowControl/>
        <w:suppressLineNumbers w:val="0"/>
      </w:pPr>
      <w:r>
        <w:t>首发经济是指企业发布新产品，推出新业态、新模式、新服务、新技术，开设首店等经济活动的总称，涵盖了企业从产品或服务的首次发布、首次展出到首次落地开设门店、首次设立研发中心，再到设立企业总部的链式发展全过程。首发经济具有时尚、品质、新潮等特征，是符合消费升级趋势和高质量发展要求的一种经济形态，是一个地区商业活力、消费实力、创新能力、国际竞争力、品牌形象和开放度的重要体现。</w:t>
      </w:r>
    </w:p>
    <w:p w14:paraId="357C46E3">
      <w:pPr>
        <w:pStyle w:val="2"/>
        <w:keepNext w:val="0"/>
        <w:keepLines w:val="0"/>
        <w:widowControl/>
        <w:suppressLineNumbers w:val="0"/>
        <w:shd w:val="clear" w:fill="FFFFFF"/>
        <w:spacing w:after="0" w:afterAutospacing="0"/>
        <w:rPr>
          <w:rFonts w:hint="eastAsia" w:ascii="微软雅黑" w:hAnsi="微软雅黑" w:eastAsia="微软雅黑" w:cs="微软雅黑"/>
          <w:spacing w:val="7"/>
        </w:rPr>
      </w:pPr>
    </w:p>
    <w:p w14:paraId="600C4E9B">
      <w:pPr>
        <w:keepNext w:val="0"/>
        <w:keepLines w:val="0"/>
        <w:widowControl/>
        <w:suppressLineNumbers w:val="0"/>
        <w:spacing w:after="240" w:afterAutospacing="0"/>
        <w:jc w:val="left"/>
      </w:pPr>
      <w:r>
        <w:rPr>
          <w:rStyle w:val="5"/>
          <w:rFonts w:ascii="宋体" w:hAnsi="宋体" w:eastAsia="宋体" w:cs="宋体"/>
          <w:kern w:val="0"/>
          <w:sz w:val="24"/>
          <w:szCs w:val="24"/>
          <w:lang w:val="en-US" w:eastAsia="zh-CN" w:bidi="ar"/>
        </w:rPr>
        <w:t>3.惩罚性赔偿</w:t>
      </w:r>
    </w:p>
    <w:p w14:paraId="448296DB">
      <w:pPr>
        <w:pStyle w:val="2"/>
        <w:keepNext w:val="0"/>
        <w:keepLines w:val="0"/>
        <w:widowControl/>
        <w:suppressLineNumbers w:val="0"/>
      </w:pPr>
      <w:r>
        <w:t>惩罚性赔偿是指在民事法律关系的损害赔偿中，超过实际损失数额范围的额外赔偿。根据我国民法典的规定，惩罚性赔偿主要适用于侵权案件，如知识产权侵权、产品缺陷侵权、环境污染侵权等，一般要求侵权人有主观恶意、故意或者欺诈，实施了不法行为并造成严重后果等条件。我国食品安全法等法律对惩罚性赔偿作了特别规定。完善惩罚性赔偿制度，进一步明确适用规则，适度扩大适用范围和增加赔偿数额，有利于鼓励市场主体运用法律武器维护合法权益，有利于惩罚侵权人并警示他人，更好维护市场秩序与公平竞争。</w:t>
      </w:r>
    </w:p>
    <w:p w14:paraId="605F4CE2">
      <w:pPr>
        <w:pStyle w:val="2"/>
        <w:keepNext w:val="0"/>
        <w:keepLines w:val="0"/>
        <w:widowControl/>
        <w:suppressLineNumbers w:val="0"/>
        <w:shd w:val="clear" w:fill="FFFFFF"/>
        <w:spacing w:after="0" w:afterAutospacing="0"/>
        <w:rPr>
          <w:rFonts w:hint="eastAsia" w:ascii="微软雅黑" w:hAnsi="微软雅黑" w:eastAsia="微软雅黑" w:cs="微软雅黑"/>
          <w:spacing w:val="7"/>
        </w:rPr>
      </w:pPr>
    </w:p>
    <w:p w14:paraId="6D875E03">
      <w:pPr>
        <w:keepNext w:val="0"/>
        <w:keepLines w:val="0"/>
        <w:widowControl/>
        <w:suppressLineNumbers w:val="0"/>
        <w:spacing w:after="240" w:afterAutospacing="0"/>
        <w:jc w:val="left"/>
      </w:pPr>
      <w:r>
        <w:rPr>
          <w:rStyle w:val="5"/>
          <w:rFonts w:ascii="宋体" w:hAnsi="宋体" w:eastAsia="宋体" w:cs="宋体"/>
          <w:kern w:val="0"/>
          <w:sz w:val="24"/>
          <w:szCs w:val="24"/>
          <w:lang w:val="en-US" w:eastAsia="zh-CN" w:bidi="ar"/>
        </w:rPr>
        <w:t>4. 未来产业</w:t>
      </w:r>
    </w:p>
    <w:p w14:paraId="6ADA04D3">
      <w:pPr>
        <w:pStyle w:val="2"/>
        <w:keepNext w:val="0"/>
        <w:keepLines w:val="0"/>
        <w:widowControl/>
        <w:suppressLineNumbers w:val="0"/>
      </w:pPr>
      <w:r>
        <w:t>未来产业是由前沿技术驱动，当前处于孕育萌发阶段或产业化初期，具有显著战略性、引领性、颠覆性和不确定性的前瞻性新兴产业。未来产业代表着新一轮科技革命和产业变革方向，是经济增长的最活跃力量，有望培育发展成先导性支柱产业，是形成新质生产力的重要阵地。世界主要国家都在抓紧布局，发展未来产业，抢占发展制高点。我国重点围绕未来制造、未来信息、未来材料、未来能源、未来空间和未来健康等方向，大力发展人工智能、类脑智能、量子科技、原子级制造、生物制造、人形机器人、低空经济、氢能等未来产业，这是牢牢把握未来发展主动权的战略选择。</w:t>
      </w:r>
    </w:p>
    <w:p w14:paraId="20EEFB4B">
      <w:pPr>
        <w:pStyle w:val="2"/>
        <w:keepNext w:val="0"/>
        <w:keepLines w:val="0"/>
        <w:widowControl/>
        <w:suppressLineNumbers w:val="0"/>
        <w:shd w:val="clear" w:fill="FFFFFF"/>
        <w:spacing w:after="0" w:afterAutospacing="0"/>
        <w:rPr>
          <w:rFonts w:hint="eastAsia" w:ascii="微软雅黑" w:hAnsi="微软雅黑" w:eastAsia="微软雅黑" w:cs="微软雅黑"/>
          <w:spacing w:val="7"/>
        </w:rPr>
      </w:pPr>
    </w:p>
    <w:p w14:paraId="6CD045A6">
      <w:pPr>
        <w:keepNext w:val="0"/>
        <w:keepLines w:val="0"/>
        <w:widowControl/>
        <w:suppressLineNumbers w:val="0"/>
        <w:spacing w:after="240" w:afterAutospacing="0"/>
        <w:jc w:val="left"/>
      </w:pPr>
      <w:r>
        <w:rPr>
          <w:rStyle w:val="5"/>
          <w:rFonts w:ascii="宋体" w:hAnsi="宋体" w:eastAsia="宋体" w:cs="宋体"/>
          <w:kern w:val="0"/>
          <w:sz w:val="24"/>
          <w:szCs w:val="24"/>
          <w:lang w:val="en-US" w:eastAsia="zh-CN" w:bidi="ar"/>
        </w:rPr>
        <w:t>5. 数智技术</w:t>
      </w:r>
    </w:p>
    <w:p w14:paraId="107056AF">
      <w:pPr>
        <w:pStyle w:val="2"/>
        <w:keepNext w:val="0"/>
        <w:keepLines w:val="0"/>
        <w:widowControl/>
        <w:suppressLineNumbers w:val="0"/>
      </w:pPr>
      <w:r>
        <w:t>数智技术是数字化和智能化的有机融合，可以理解为“数字化＋智能化”，是在数字化基础上融合应用机器学习、人工智能等智能技术的过程。数智化是新型工业化的鲜明特征，是形成新质生产力的重要途径。通过“人工智能+工业制造”、“人工智能＋生成设计”等推进智能工厂、未来工厂、“灯塔工厂”建设，推动实现制造业数智化，是制造业转型升级的重要方向。</w:t>
      </w:r>
    </w:p>
    <w:p w14:paraId="049155D8">
      <w:pPr>
        <w:pStyle w:val="2"/>
        <w:keepNext w:val="0"/>
        <w:keepLines w:val="0"/>
        <w:widowControl/>
        <w:suppressLineNumbers w:val="0"/>
        <w:shd w:val="clear" w:fill="FFFFFF"/>
        <w:spacing w:after="0" w:afterAutospacing="0"/>
        <w:rPr>
          <w:rFonts w:hint="eastAsia" w:ascii="微软雅黑" w:hAnsi="微软雅黑" w:eastAsia="微软雅黑" w:cs="微软雅黑"/>
          <w:spacing w:val="7"/>
        </w:rPr>
      </w:pPr>
    </w:p>
    <w:p w14:paraId="2632DA2B">
      <w:pPr>
        <w:keepNext w:val="0"/>
        <w:keepLines w:val="0"/>
        <w:widowControl/>
        <w:suppressLineNumbers w:val="0"/>
        <w:spacing w:after="240" w:afterAutospacing="0"/>
        <w:jc w:val="left"/>
      </w:pPr>
      <w:r>
        <w:rPr>
          <w:rStyle w:val="5"/>
          <w:rFonts w:ascii="宋体" w:hAnsi="宋体" w:eastAsia="宋体" w:cs="宋体"/>
          <w:kern w:val="0"/>
          <w:sz w:val="24"/>
          <w:szCs w:val="24"/>
          <w:lang w:val="en-US" w:eastAsia="zh-CN" w:bidi="ar"/>
        </w:rPr>
        <w:t>6. 天使投资</w:t>
      </w:r>
    </w:p>
    <w:p w14:paraId="33C39074">
      <w:pPr>
        <w:pStyle w:val="2"/>
        <w:keepNext w:val="0"/>
        <w:keepLines w:val="0"/>
        <w:widowControl/>
        <w:suppressLineNumbers w:val="0"/>
      </w:pPr>
      <w:r>
        <w:t>天使投资是指投资者对具有前沿技术或创新理念、产品或商业模式尚未得到验证、仍处于种子期但具有较大发展潜力的小型初创企业或创新项目进行的早期投资，通常为该企业或项目接受的第一笔外部股权投资。这个阶段的企业或项目往往尚处于萌芽期，甚至只有一个原型产品或商业计划，还远没有稳定的收入来源或成熟的产品。这些投资者之所以被称为“天使”，是因为他们在企业或项目最初期的时候提供资金支持，往往需要承担较高的风险，而且通常还会在战略、管理等方面为企业或项目成长赋能，天使投资是创新生态系统的重要组成部分，在推动创新创业创造方面发挥着独特作用，是颠覆性、原创性技术产业早期发展的重要融资安排。</w:t>
      </w:r>
    </w:p>
    <w:p w14:paraId="19B929A7">
      <w:pPr>
        <w:pStyle w:val="2"/>
        <w:keepNext w:val="0"/>
        <w:keepLines w:val="0"/>
        <w:widowControl/>
        <w:suppressLineNumbers w:val="0"/>
        <w:shd w:val="clear" w:fill="FFFFFF"/>
        <w:spacing w:after="0" w:afterAutospacing="0"/>
        <w:rPr>
          <w:rFonts w:hint="eastAsia" w:ascii="微软雅黑" w:hAnsi="微软雅黑" w:eastAsia="微软雅黑" w:cs="微软雅黑"/>
          <w:spacing w:val="7"/>
        </w:rPr>
      </w:pPr>
    </w:p>
    <w:p w14:paraId="3EA1FB07">
      <w:pPr>
        <w:keepNext w:val="0"/>
        <w:keepLines w:val="0"/>
        <w:widowControl/>
        <w:suppressLineNumbers w:val="0"/>
        <w:spacing w:after="240" w:afterAutospacing="0"/>
        <w:jc w:val="left"/>
      </w:pPr>
      <w:r>
        <w:rPr>
          <w:rStyle w:val="5"/>
          <w:rFonts w:ascii="宋体" w:hAnsi="宋体" w:eastAsia="宋体" w:cs="宋体"/>
          <w:kern w:val="0"/>
          <w:sz w:val="24"/>
          <w:szCs w:val="24"/>
          <w:lang w:val="en-US" w:eastAsia="zh-CN" w:bidi="ar"/>
        </w:rPr>
        <w:t>7.耐心资本</w:t>
      </w:r>
    </w:p>
    <w:p w14:paraId="5A1C8BDF">
      <w:pPr>
        <w:pStyle w:val="2"/>
        <w:keepNext w:val="0"/>
        <w:keepLines w:val="0"/>
        <w:widowControl/>
        <w:suppressLineNumbers w:val="0"/>
      </w:pPr>
      <w:r>
        <w:t>耐心资本是一种专注于长期投资的资本形式，不以追求短期收益为首要目标，而更重视长期回报的项目或投资活动，通常不受市场短期波动干扰，是对资本回报有较长期限展望且对风险有较高承受力的资本。从全球实践看，耐心资本主要来源于政府投资基金、养老基金（包括社保基金、企业年金、个人养老金）、保险资本等，是私募创投基金、公募基金等引入中长期资金的重要来源，能够为投资项目、资本市场提供长期稳定的资金支持，是科技创新和产业创新的关键要素保障，是发展新质生产力的重要条件和推动力。</w:t>
      </w:r>
    </w:p>
    <w:p w14:paraId="6D735CF3">
      <w:pPr>
        <w:pStyle w:val="2"/>
        <w:keepNext w:val="0"/>
        <w:keepLines w:val="0"/>
        <w:widowControl/>
        <w:suppressLineNumbers w:val="0"/>
      </w:pPr>
    </w:p>
    <w:p w14:paraId="7C832CB8">
      <w:pPr>
        <w:pStyle w:val="2"/>
        <w:keepNext w:val="0"/>
        <w:keepLines w:val="0"/>
        <w:widowControl/>
        <w:suppressLineNumbers w:val="0"/>
      </w:pPr>
    </w:p>
    <w:p w14:paraId="5D3B1440">
      <w:pPr>
        <w:pStyle w:val="2"/>
        <w:keepNext w:val="0"/>
        <w:keepLines w:val="0"/>
        <w:widowControl/>
        <w:suppressLineNumbers w:val="0"/>
        <w:shd w:val="clear" w:fill="FFFFFF"/>
        <w:spacing w:after="0" w:afterAutospacing="0"/>
        <w:rPr>
          <w:rFonts w:hint="eastAsia" w:ascii="微软雅黑" w:hAnsi="微软雅黑" w:eastAsia="微软雅黑" w:cs="微软雅黑"/>
          <w:spacing w:val="7"/>
        </w:rPr>
      </w:pPr>
    </w:p>
    <w:p w14:paraId="195122AB">
      <w:pPr>
        <w:keepNext w:val="0"/>
        <w:keepLines w:val="0"/>
        <w:widowControl/>
        <w:suppressLineNumbers w:val="0"/>
        <w:spacing w:after="240" w:afterAutospacing="0"/>
        <w:jc w:val="left"/>
      </w:pPr>
      <w:r>
        <w:rPr>
          <w:rStyle w:val="5"/>
          <w:rFonts w:ascii="宋体" w:hAnsi="宋体" w:eastAsia="宋体" w:cs="宋体"/>
          <w:kern w:val="0"/>
          <w:sz w:val="24"/>
          <w:szCs w:val="24"/>
          <w:lang w:val="en-US" w:eastAsia="zh-CN" w:bidi="ar"/>
        </w:rPr>
        <w:t>8. 职普融通</w:t>
      </w:r>
    </w:p>
    <w:p w14:paraId="2CA37B6C">
      <w:pPr>
        <w:pStyle w:val="2"/>
        <w:keepNext w:val="0"/>
        <w:keepLines w:val="0"/>
        <w:widowControl/>
        <w:suppressLineNumbers w:val="0"/>
      </w:pPr>
      <w:r>
        <w:t>职普融通是指职业教育、普通教育通过教学资源共享、培养成果互认、发展路径互通等方式，推动人才培养模式改革，为学生成长成才提供多样化路径选择，为推进中国式现代化提供高素质复合型技术技能人才。</w:t>
      </w:r>
    </w:p>
    <w:p w14:paraId="7DD1F8F1">
      <w:pPr>
        <w:pStyle w:val="2"/>
        <w:keepNext w:val="0"/>
        <w:keepLines w:val="0"/>
        <w:widowControl/>
        <w:suppressLineNumbers w:val="0"/>
        <w:shd w:val="clear" w:fill="FFFFFF"/>
        <w:spacing w:after="0" w:afterAutospacing="0"/>
        <w:rPr>
          <w:rFonts w:hint="eastAsia" w:ascii="微软雅黑" w:hAnsi="微软雅黑" w:eastAsia="微软雅黑" w:cs="微软雅黑"/>
          <w:spacing w:val="7"/>
        </w:rPr>
      </w:pPr>
    </w:p>
    <w:p w14:paraId="62FB6463">
      <w:pPr>
        <w:keepNext w:val="0"/>
        <w:keepLines w:val="0"/>
        <w:widowControl/>
        <w:suppressLineNumbers w:val="0"/>
        <w:spacing w:after="240" w:afterAutospacing="0"/>
        <w:jc w:val="left"/>
      </w:pPr>
      <w:r>
        <w:rPr>
          <w:rStyle w:val="5"/>
          <w:rFonts w:ascii="宋体" w:hAnsi="宋体" w:eastAsia="宋体" w:cs="宋体"/>
          <w:kern w:val="0"/>
          <w:sz w:val="24"/>
          <w:szCs w:val="24"/>
          <w:lang w:val="en-US" w:eastAsia="zh-CN" w:bidi="ar"/>
        </w:rPr>
        <w:t>9.免费教育</w:t>
      </w:r>
    </w:p>
    <w:p w14:paraId="49B0184B">
      <w:pPr>
        <w:pStyle w:val="2"/>
        <w:keepNext w:val="0"/>
        <w:keepLines w:val="0"/>
        <w:widowControl/>
        <w:suppressLineNumbers w:val="0"/>
      </w:pPr>
      <w:r>
        <w:t>免费教育是指教育不收取学生（儿童）学费、杂费以及保育教育费。免费教育的经费由中央和地方财政按照教育领域财政事权和支出责任分担。目前，我国对九年义务教育实行免费，同时国家逐步分类推进中等职业教育免除学杂费，免除普通高中建档立卡等家庭经济困难学生学杂费，在提高教育普及水平、促进教育公平、推动基本公共教育服务均等化等方面发挥了重要作用。探索逐步扩大免费教育范围，有利于进一步提高教育普及程度、提高人力资源开发水平，进一步缩小教育的城乡、区域、校际、群体差距，进一步减轻家庭教育负担，充分保障适龄儿童少年受教育机会，增进民生福祉，推进共同富裕。</w:t>
      </w:r>
    </w:p>
    <w:p w14:paraId="76D1F785">
      <w:pPr>
        <w:pStyle w:val="2"/>
        <w:keepNext w:val="0"/>
        <w:keepLines w:val="0"/>
        <w:widowControl/>
        <w:suppressLineNumbers w:val="0"/>
      </w:pPr>
    </w:p>
    <w:p w14:paraId="4D962560">
      <w:pPr>
        <w:keepNext w:val="0"/>
        <w:keepLines w:val="0"/>
        <w:widowControl/>
        <w:suppressLineNumbers w:val="0"/>
        <w:spacing w:after="240" w:afterAutospacing="0"/>
        <w:jc w:val="left"/>
      </w:pPr>
      <w:r>
        <w:rPr>
          <w:rStyle w:val="5"/>
          <w:rFonts w:ascii="宋体" w:hAnsi="宋体" w:eastAsia="宋体" w:cs="宋体"/>
          <w:kern w:val="0"/>
          <w:sz w:val="24"/>
          <w:szCs w:val="24"/>
          <w:lang w:val="en-US" w:eastAsia="zh-CN" w:bidi="ar"/>
        </w:rPr>
        <w:t>10. 专门教育</w:t>
      </w:r>
    </w:p>
    <w:p w14:paraId="0B0FE530">
      <w:pPr>
        <w:pStyle w:val="2"/>
        <w:keepNext w:val="0"/>
        <w:keepLines w:val="0"/>
        <w:widowControl/>
        <w:suppressLineNumbers w:val="0"/>
      </w:pPr>
      <w:r>
        <w:t>专门教育是国民教育体系的组成部分，是对有严重不良行为的未成年人进行教育和矫治的重要保护处分措施。专门教育针对未成年人身心发展特点，对专门学校学生系统深入地开展思想道德教育、法治教育、艺术体育教育、科学文化教育、职业技术教育、心理健康教育、生命教育等，帮助他们树立正确的世界观人生观价值观，培育法治意识和规则意识，明确基本的行为底线，纠正心理和行为偏差。加强专门学校建设和专门教育工作，是预防和减少青少年违法犯罪的现实要求，是促进青少年整体健康成长的底线保障，关系家庭幸福安宁，也关系社会和谐稳定、国家长治久安。专门学校的建设和管理、专门教育的形式和内容，应依据教育法、义务教育法、未成年人保护法、预防未成年人犯罪法等法律法规实施。</w:t>
      </w:r>
    </w:p>
    <w:p w14:paraId="00395C94">
      <w:pPr>
        <w:pStyle w:val="2"/>
        <w:keepNext w:val="0"/>
        <w:keepLines w:val="0"/>
        <w:widowControl/>
        <w:suppressLineNumbers w:val="0"/>
      </w:pPr>
    </w:p>
    <w:p w14:paraId="7D002D33">
      <w:pPr>
        <w:keepNext w:val="0"/>
        <w:keepLines w:val="0"/>
        <w:widowControl/>
        <w:suppressLineNumbers w:val="0"/>
        <w:spacing w:after="240" w:afterAutospacing="0"/>
        <w:jc w:val="left"/>
      </w:pPr>
      <w:r>
        <w:rPr>
          <w:rStyle w:val="5"/>
          <w:rFonts w:ascii="宋体" w:hAnsi="宋体" w:eastAsia="宋体" w:cs="宋体"/>
          <w:kern w:val="0"/>
          <w:sz w:val="24"/>
          <w:szCs w:val="24"/>
          <w:lang w:val="en-US" w:eastAsia="zh-CN" w:bidi="ar"/>
        </w:rPr>
        <w:t>11. 科技伦理</w:t>
      </w:r>
    </w:p>
    <w:p w14:paraId="767BA874">
      <w:pPr>
        <w:pStyle w:val="2"/>
        <w:keepNext w:val="0"/>
        <w:keepLines w:val="0"/>
        <w:widowControl/>
        <w:suppressLineNumbers w:val="0"/>
      </w:pPr>
      <w:r>
        <w:t>科技伦理是指在科学研究和技术开发等科技活动中，科技工作者及其共同体需要遵循的价值理念和行为规范，是促进科技向善、增进人类福祉、推动科技事业健康发展的重要保障。</w:t>
      </w:r>
    </w:p>
    <w:p w14:paraId="454130F0">
      <w:pPr>
        <w:pStyle w:val="2"/>
        <w:keepNext w:val="0"/>
        <w:keepLines w:val="0"/>
        <w:widowControl/>
        <w:suppressLineNumbers w:val="0"/>
      </w:pPr>
    </w:p>
    <w:p w14:paraId="7400386B">
      <w:pPr>
        <w:pStyle w:val="2"/>
        <w:keepNext w:val="0"/>
        <w:keepLines w:val="0"/>
        <w:widowControl/>
        <w:suppressLineNumbers w:val="0"/>
      </w:pPr>
    </w:p>
    <w:p w14:paraId="7543999E">
      <w:pPr>
        <w:pStyle w:val="2"/>
        <w:keepNext w:val="0"/>
        <w:keepLines w:val="0"/>
        <w:widowControl/>
        <w:suppressLineNumbers w:val="0"/>
      </w:pPr>
    </w:p>
    <w:p w14:paraId="61C1D845">
      <w:pPr>
        <w:keepNext w:val="0"/>
        <w:keepLines w:val="0"/>
        <w:widowControl/>
        <w:suppressLineNumbers w:val="0"/>
        <w:spacing w:after="240" w:afterAutospacing="0"/>
        <w:jc w:val="left"/>
      </w:pPr>
      <w:r>
        <w:rPr>
          <w:rStyle w:val="5"/>
          <w:rFonts w:ascii="宋体" w:hAnsi="宋体" w:eastAsia="宋体" w:cs="宋体"/>
          <w:kern w:val="0"/>
          <w:sz w:val="24"/>
          <w:szCs w:val="24"/>
          <w:lang w:val="en-US" w:eastAsia="zh-CN" w:bidi="ar"/>
        </w:rPr>
        <w:t>12. 专精特新</w:t>
      </w:r>
    </w:p>
    <w:p w14:paraId="1F9B499D">
      <w:pPr>
        <w:pStyle w:val="2"/>
        <w:keepNext w:val="0"/>
        <w:keepLines w:val="0"/>
        <w:widowControl/>
        <w:suppressLineNumbers w:val="0"/>
      </w:pPr>
      <w:r>
        <w:t>专精特新是专业化、精细化、特色化、创新能力强的简称。“专”，即专业化，强调顺应产业分工，聚焦细分领域，心无旁骛、坚守主业、深耕细作。“精”，即精细化，强调企业管理精细精益、产品服务精致精良、技术工艺精益求精。“特”，即特色化，强调技术、工艺和产品等有自身独特优势，掌握“独门绝技”。“新”，即创新能力强，强调以创新为企业生存和发展的根本，持续开展组织创新、技术创新、市场创新，加大创新投入，提升创新能力。专精特新中小企业以专注铸专长，以配套强产业，以创新赢市场，是提升产业链供应链韧性和竞争力的关键环节，是解决关键核心技术“卡脖子”问题的重要力量，是发展新质生产力、构建新发展格局的有力支撑。</w:t>
      </w:r>
    </w:p>
    <w:p w14:paraId="4D444319">
      <w:pPr>
        <w:pStyle w:val="2"/>
        <w:keepNext w:val="0"/>
        <w:keepLines w:val="0"/>
        <w:widowControl/>
        <w:suppressLineNumbers w:val="0"/>
        <w:shd w:val="clear" w:fill="FFFFFF"/>
        <w:spacing w:after="0" w:afterAutospacing="0"/>
        <w:rPr>
          <w:rFonts w:hint="eastAsia" w:ascii="微软雅黑" w:hAnsi="微软雅黑" w:eastAsia="微软雅黑" w:cs="微软雅黑"/>
          <w:spacing w:val="7"/>
        </w:rPr>
      </w:pPr>
    </w:p>
    <w:p w14:paraId="15612E11">
      <w:pPr>
        <w:keepNext w:val="0"/>
        <w:keepLines w:val="0"/>
        <w:widowControl/>
        <w:suppressLineNumbers w:val="0"/>
        <w:spacing w:after="240" w:afterAutospacing="0"/>
        <w:jc w:val="left"/>
      </w:pPr>
      <w:r>
        <w:rPr>
          <w:rStyle w:val="5"/>
          <w:rFonts w:ascii="宋体" w:hAnsi="宋体" w:eastAsia="宋体" w:cs="宋体"/>
          <w:kern w:val="0"/>
          <w:sz w:val="24"/>
          <w:szCs w:val="24"/>
          <w:lang w:val="en-US" w:eastAsia="zh-CN" w:bidi="ar"/>
        </w:rPr>
        <w:t>13. 概念验证</w:t>
      </w:r>
    </w:p>
    <w:p w14:paraId="7791D7FF">
      <w:pPr>
        <w:pStyle w:val="2"/>
        <w:keepNext w:val="0"/>
        <w:keepLines w:val="0"/>
        <w:widowControl/>
        <w:suppressLineNumbers w:val="0"/>
      </w:pPr>
      <w:r>
        <w:t>概念验证是指从技术、市场、产业等维度，对科技成果进行验证，旨在验证技术可行性并判断商业价值、评估市场潜力，是吸引社会资本推动科技成果形成产品、迈向市场化产业化应用阶段的重要环节。</w:t>
      </w:r>
    </w:p>
    <w:p w14:paraId="0F8A62AD">
      <w:pPr>
        <w:pStyle w:val="2"/>
        <w:keepNext w:val="0"/>
        <w:keepLines w:val="0"/>
        <w:widowControl/>
        <w:suppressLineNumbers w:val="0"/>
      </w:pPr>
    </w:p>
    <w:p w14:paraId="146E389F">
      <w:pPr>
        <w:keepNext w:val="0"/>
        <w:keepLines w:val="0"/>
        <w:widowControl/>
        <w:suppressLineNumbers w:val="0"/>
        <w:spacing w:after="240" w:afterAutospacing="0"/>
        <w:jc w:val="left"/>
      </w:pPr>
      <w:r>
        <w:rPr>
          <w:rStyle w:val="5"/>
          <w:rFonts w:ascii="宋体" w:hAnsi="宋体" w:eastAsia="宋体" w:cs="宋体"/>
          <w:kern w:val="0"/>
          <w:sz w:val="24"/>
          <w:szCs w:val="24"/>
          <w:lang w:val="en-US" w:eastAsia="zh-CN" w:bidi="ar"/>
        </w:rPr>
        <w:t>14.国家宏观资产负债表</w:t>
      </w:r>
    </w:p>
    <w:p w14:paraId="25B8FC14">
      <w:pPr>
        <w:pStyle w:val="2"/>
        <w:keepNext w:val="0"/>
        <w:keepLines w:val="0"/>
        <w:widowControl/>
        <w:suppressLineNumbers w:val="0"/>
      </w:pPr>
      <w:r>
        <w:t>国家宏观资产负债表是综合反映一个国家或地区在特定时间点上拥有的资产、负债总量及结构的统计表，包括政府、住户、非金融企业、金融机构等各部门机构所拥有的资产与负债的规模和结构。国家宏观资产负债表可以衡量一国多年经济增长所形成的财富积累，用以从存量视角分析国家经济的变化趋势和健康状况。</w:t>
      </w:r>
    </w:p>
    <w:p w14:paraId="5C880232">
      <w:pPr>
        <w:pStyle w:val="2"/>
        <w:keepNext w:val="0"/>
        <w:keepLines w:val="0"/>
        <w:widowControl/>
        <w:suppressLineNumbers w:val="0"/>
      </w:pPr>
    </w:p>
    <w:p w14:paraId="368275FF">
      <w:pPr>
        <w:keepNext w:val="0"/>
        <w:keepLines w:val="0"/>
        <w:widowControl/>
        <w:suppressLineNumbers w:val="0"/>
        <w:spacing w:after="240" w:afterAutospacing="0"/>
        <w:jc w:val="left"/>
      </w:pPr>
      <w:r>
        <w:rPr>
          <w:rStyle w:val="5"/>
          <w:rFonts w:ascii="宋体" w:hAnsi="宋体" w:eastAsia="宋体" w:cs="宋体"/>
          <w:kern w:val="0"/>
          <w:sz w:val="24"/>
          <w:szCs w:val="24"/>
          <w:lang w:val="en-US" w:eastAsia="zh-CN" w:bidi="ar"/>
        </w:rPr>
        <w:t>15.预期管理</w:t>
      </w:r>
    </w:p>
    <w:p w14:paraId="3F2AD173">
      <w:pPr>
        <w:pStyle w:val="2"/>
        <w:keepNext w:val="0"/>
        <w:keepLines w:val="0"/>
        <w:widowControl/>
        <w:suppressLineNumbers w:val="0"/>
      </w:pPr>
      <w:r>
        <w:t>预期管理是宏观经济治理的重要内容，指政府部门通过政策解读、信息公开、新闻发布等方式，加强与公众的信息沟通，有效引导、协调和稳定社会预期，使政策在某种程度上可被预见和理解，以实现政策效果最大化，确保政策的实施能够达到预期效果。预期管理对于稳定市场、提高政策效果具有重要意义，通过有效的预期管理，可以引导市场参与者的行为，减少市场波动，提高政策的执行效率和效果。</w:t>
      </w:r>
    </w:p>
    <w:p w14:paraId="30FDAFFA">
      <w:pPr>
        <w:keepNext w:val="0"/>
        <w:keepLines w:val="0"/>
        <w:widowControl/>
        <w:suppressLineNumbers w:val="0"/>
        <w:jc w:val="left"/>
      </w:pPr>
    </w:p>
    <w:p w14:paraId="4EBF6C1F">
      <w:pPr>
        <w:pStyle w:val="2"/>
        <w:keepNext w:val="0"/>
        <w:keepLines w:val="0"/>
        <w:widowControl/>
        <w:suppressLineNumbers w:val="0"/>
        <w:shd w:val="clear" w:fill="FFFFFF"/>
        <w:spacing w:after="0" w:afterAutospacing="0"/>
        <w:rPr>
          <w:rFonts w:hint="eastAsia" w:ascii="微软雅黑" w:hAnsi="微软雅黑" w:eastAsia="微软雅黑" w:cs="微软雅黑"/>
          <w:spacing w:val="7"/>
        </w:rPr>
      </w:pPr>
    </w:p>
    <w:p w14:paraId="1D74ADA8">
      <w:pPr>
        <w:keepNext w:val="0"/>
        <w:keepLines w:val="0"/>
        <w:widowControl/>
        <w:suppressLineNumbers w:val="0"/>
        <w:spacing w:after="240" w:afterAutospacing="0"/>
        <w:jc w:val="left"/>
      </w:pPr>
      <w:r>
        <w:rPr>
          <w:rStyle w:val="5"/>
          <w:rFonts w:ascii="宋体" w:hAnsi="宋体" w:eastAsia="宋体" w:cs="宋体"/>
          <w:kern w:val="0"/>
          <w:sz w:val="24"/>
          <w:szCs w:val="24"/>
          <w:lang w:val="en-US" w:eastAsia="zh-CN" w:bidi="ar"/>
        </w:rPr>
        <w:t>16. 劳动性所得</w:t>
      </w:r>
    </w:p>
    <w:p w14:paraId="3C144FF1">
      <w:pPr>
        <w:pStyle w:val="2"/>
        <w:keepNext w:val="0"/>
        <w:keepLines w:val="0"/>
        <w:widowControl/>
        <w:suppressLineNumbers w:val="0"/>
      </w:pPr>
      <w:r>
        <w:t>劳动性所得是指经过劳动创造了价值和使用价值而取得的所得，包含物质性和非物质性的劳动产品。劳动性所得不同于资本性所得，其取得的条件是必须经过劳动，从劳动中取得，不劳动则无所得。</w:t>
      </w:r>
    </w:p>
    <w:p w14:paraId="7AB13FCD">
      <w:pPr>
        <w:pStyle w:val="2"/>
        <w:keepNext w:val="0"/>
        <w:keepLines w:val="0"/>
        <w:widowControl/>
        <w:suppressLineNumbers w:val="0"/>
        <w:shd w:val="clear" w:fill="FFFFFF"/>
        <w:spacing w:after="0" w:afterAutospacing="0"/>
        <w:rPr>
          <w:rFonts w:hint="eastAsia" w:ascii="微软雅黑" w:hAnsi="微软雅黑" w:eastAsia="微软雅黑" w:cs="微软雅黑"/>
          <w:spacing w:val="7"/>
        </w:rPr>
      </w:pPr>
    </w:p>
    <w:p w14:paraId="15210B6A">
      <w:pPr>
        <w:keepNext w:val="0"/>
        <w:keepLines w:val="0"/>
        <w:widowControl/>
        <w:suppressLineNumbers w:val="0"/>
        <w:spacing w:after="240" w:afterAutospacing="0"/>
        <w:jc w:val="left"/>
      </w:pPr>
      <w:r>
        <w:rPr>
          <w:rStyle w:val="5"/>
          <w:rFonts w:ascii="宋体" w:hAnsi="宋体" w:eastAsia="宋体" w:cs="宋体"/>
          <w:kern w:val="0"/>
          <w:sz w:val="24"/>
          <w:szCs w:val="24"/>
          <w:lang w:val="en-US" w:eastAsia="zh-CN" w:bidi="ar"/>
        </w:rPr>
        <w:t>17. 人民币离岸市场</w:t>
      </w:r>
    </w:p>
    <w:p w14:paraId="47B58F25">
      <w:pPr>
        <w:pStyle w:val="2"/>
        <w:keepNext w:val="0"/>
        <w:keepLines w:val="0"/>
        <w:widowControl/>
        <w:suppressLineNumbers w:val="0"/>
      </w:pPr>
      <w:r>
        <w:t>根据国际货币基金组织定义，离岸市场一般指在货币发行国之外，开展该国货币资金融通活动的区域，也可位于货币发行国国内具备与国际接轨的法律、会计、金融监管等制度条件的特殊区域。相应地，人民币离岸市场是指在中国司法管辖之外，开展人民币存贷款、汇兑和结算，以及人民币计价的股票、债券、衍生品等金融产品发行和交易的区域。目前人民币离岸市场主要包括中国香港、新加坡、英国伦敦等地。</w:t>
      </w:r>
    </w:p>
    <w:p w14:paraId="5B713FDA">
      <w:pPr>
        <w:pStyle w:val="2"/>
        <w:keepNext w:val="0"/>
        <w:keepLines w:val="0"/>
        <w:widowControl/>
        <w:suppressLineNumbers w:val="0"/>
        <w:shd w:val="clear" w:fill="FFFFFF"/>
        <w:spacing w:after="0" w:afterAutospacing="0"/>
        <w:rPr>
          <w:rFonts w:hint="eastAsia" w:ascii="微软雅黑" w:hAnsi="微软雅黑" w:eastAsia="微软雅黑" w:cs="微软雅黑"/>
          <w:spacing w:val="7"/>
        </w:rPr>
      </w:pPr>
    </w:p>
    <w:p w14:paraId="1B3D8288">
      <w:pPr>
        <w:keepNext w:val="0"/>
        <w:keepLines w:val="0"/>
        <w:widowControl/>
        <w:suppressLineNumbers w:val="0"/>
        <w:spacing w:after="240" w:afterAutospacing="0"/>
        <w:jc w:val="left"/>
      </w:pPr>
      <w:r>
        <w:rPr>
          <w:rStyle w:val="5"/>
          <w:rFonts w:ascii="宋体" w:hAnsi="宋体" w:eastAsia="宋体" w:cs="宋体"/>
          <w:kern w:val="0"/>
          <w:sz w:val="24"/>
          <w:szCs w:val="24"/>
          <w:lang w:val="en-US" w:eastAsia="zh-CN" w:bidi="ar"/>
        </w:rPr>
        <w:t>18. 基本农作物</w:t>
      </w:r>
    </w:p>
    <w:p w14:paraId="3C9F6D61">
      <w:pPr>
        <w:pStyle w:val="2"/>
        <w:keepNext w:val="0"/>
        <w:keepLines w:val="0"/>
        <w:widowControl/>
        <w:suppressLineNumbers w:val="0"/>
      </w:pPr>
      <w:r>
        <w:t>基本农作物是指为了满足人们基本生产生活需要而大面积栽培的农作物。在国家层面，基本农作物主要包括粮食、油料、棉花、糖料、蔬菜、饲草饲料等基础性、战略性农作物品种。具体到各地区，根据资源禀赋、气候条件、种植制度、区位条件等因素，基本农作物还包括具备种植历史、产业优势以及生产生活必备的区域性品种。由于基本农作物直接关系生存安全、国家安全，需要在耕地资源利用上予以优先保障。</w:t>
      </w:r>
    </w:p>
    <w:p w14:paraId="317F0E8E">
      <w:pPr>
        <w:pStyle w:val="2"/>
        <w:keepNext w:val="0"/>
        <w:keepLines w:val="0"/>
        <w:widowControl/>
        <w:suppressLineNumbers w:val="0"/>
        <w:shd w:val="clear" w:fill="FFFFFF"/>
        <w:spacing w:after="0" w:afterAutospacing="0"/>
        <w:rPr>
          <w:rFonts w:hint="eastAsia" w:ascii="微软雅黑" w:hAnsi="微软雅黑" w:eastAsia="微软雅黑" w:cs="微软雅黑"/>
          <w:spacing w:val="7"/>
        </w:rPr>
      </w:pPr>
    </w:p>
    <w:p w14:paraId="4C69D374">
      <w:pPr>
        <w:keepNext w:val="0"/>
        <w:keepLines w:val="0"/>
        <w:widowControl/>
        <w:suppressLineNumbers w:val="0"/>
        <w:spacing w:after="240" w:afterAutospacing="0"/>
        <w:jc w:val="left"/>
      </w:pPr>
      <w:r>
        <w:rPr>
          <w:rStyle w:val="5"/>
          <w:rFonts w:ascii="宋体" w:hAnsi="宋体" w:eastAsia="宋体" w:cs="宋体"/>
          <w:kern w:val="0"/>
          <w:sz w:val="24"/>
          <w:szCs w:val="24"/>
          <w:lang w:val="en-US" w:eastAsia="zh-CN" w:bidi="ar"/>
        </w:rPr>
        <w:t>19. 生成式人工智能</w:t>
      </w:r>
    </w:p>
    <w:p w14:paraId="21BF504C">
      <w:pPr>
        <w:pStyle w:val="2"/>
        <w:keepNext w:val="0"/>
        <w:keepLines w:val="0"/>
        <w:widowControl/>
        <w:suppressLineNumbers w:val="0"/>
      </w:pPr>
      <w:r>
        <w:t>生成式人工智能是人工智能的一个分支，是基于算法、模型、规则生成文本、图片、声音、视频、代码等内容的技术。这种技术能够针对用户需求，依托事先训练好的多模态基础大模型等，利用用户输入的相关资料，生成具有一定逻辑性和连贯性的内容。与传统人工智能不同，生成式人工智能不仅能够对输入数据进行处理，更能学习和模拟事物内在规律，自主创造出新的内容。</w:t>
      </w:r>
    </w:p>
    <w:p w14:paraId="538AB09E">
      <w:pPr>
        <w:pStyle w:val="2"/>
        <w:keepNext w:val="0"/>
        <w:keepLines w:val="0"/>
        <w:widowControl/>
        <w:suppressLineNumbers w:val="0"/>
      </w:pPr>
    </w:p>
    <w:p w14:paraId="3F03BDA5">
      <w:pPr>
        <w:keepNext w:val="0"/>
        <w:keepLines w:val="0"/>
        <w:widowControl/>
        <w:suppressLineNumbers w:val="0"/>
        <w:spacing w:after="240" w:afterAutospacing="0"/>
        <w:jc w:val="left"/>
      </w:pPr>
      <w:r>
        <w:rPr>
          <w:rStyle w:val="5"/>
          <w:rFonts w:ascii="宋体" w:hAnsi="宋体" w:eastAsia="宋体" w:cs="宋体"/>
          <w:kern w:val="0"/>
          <w:sz w:val="24"/>
          <w:szCs w:val="24"/>
          <w:lang w:val="en-US" w:eastAsia="zh-CN" w:bidi="ar"/>
        </w:rPr>
        <w:t>20. 新就业形态</w:t>
      </w:r>
    </w:p>
    <w:p w14:paraId="360D7234">
      <w:pPr>
        <w:pStyle w:val="2"/>
        <w:keepNext w:val="0"/>
        <w:keepLines w:val="0"/>
        <w:widowControl/>
        <w:suppressLineNumbers w:val="0"/>
      </w:pPr>
      <w:r>
        <w:t>新就业形态是指伴随着互联网技术应用和数字经济发展而出现的工作模式，如依托互联网平台就业的网约配送员、网约车驾驶员、互联网营销师等。新就业形态具有劳动关系灵活、工作内容多样、工作方式弹性、创业机会互联等特点，对于扩大就业容量、调节劳动力市场具有重要作用，同时也对提升就业质量、加强劳动者权益保障提出新要求，既应该鼓励发展，也需要对其进行规范。</w:t>
      </w:r>
    </w:p>
    <w:p w14:paraId="6F954316">
      <w:pPr>
        <w:pStyle w:val="2"/>
        <w:keepNext w:val="0"/>
        <w:keepLines w:val="0"/>
        <w:widowControl/>
        <w:suppressLineNumbers w:val="0"/>
      </w:pPr>
    </w:p>
    <w:p w14:paraId="1D4CC7CC">
      <w:pPr>
        <w:keepNext w:val="0"/>
        <w:keepLines w:val="0"/>
        <w:widowControl/>
        <w:suppressLineNumbers w:val="0"/>
        <w:spacing w:after="240" w:afterAutospacing="0"/>
        <w:jc w:val="left"/>
      </w:pPr>
      <w:r>
        <w:rPr>
          <w:rStyle w:val="5"/>
          <w:rFonts w:ascii="宋体" w:hAnsi="宋体" w:eastAsia="宋体" w:cs="宋体"/>
          <w:kern w:val="0"/>
          <w:sz w:val="24"/>
          <w:szCs w:val="24"/>
          <w:lang w:val="en-US" w:eastAsia="zh-CN" w:bidi="ar"/>
        </w:rPr>
        <w:t>21.紧密型医联体</w:t>
      </w:r>
    </w:p>
    <w:p w14:paraId="0A042806">
      <w:pPr>
        <w:pStyle w:val="2"/>
        <w:keepNext w:val="0"/>
        <w:keepLines w:val="0"/>
        <w:widowControl/>
        <w:suppressLineNumbers w:val="0"/>
      </w:pPr>
      <w:r>
        <w:t>紧密型医联体是指通过建立一定区域内部分医疗机构之间分工协作机制、双向转诊机制和激励约束相容的利益共享机制，推动人员、技术、服务、管理协同共享，提升基层能力，建设责任、管理、服务、利益的共同体，实现相关医疗机构间医疗服务和管理的一体化运作，促进医疗资源共享共用，提高资源配置和利用效率，保障运行发展可持续，为人民群众就近就便提供更加公平可及、多层次、系统连续的医疗卫生服务。</w:t>
      </w:r>
    </w:p>
    <w:p w14:paraId="5406A29C">
      <w:pPr>
        <w:pStyle w:val="2"/>
        <w:keepNext w:val="0"/>
        <w:keepLines w:val="0"/>
        <w:widowControl/>
        <w:suppressLineNumbers w:val="0"/>
      </w:pPr>
    </w:p>
    <w:p w14:paraId="0BA82801">
      <w:pPr>
        <w:keepNext w:val="0"/>
        <w:keepLines w:val="0"/>
        <w:widowControl/>
        <w:suppressLineNumbers w:val="0"/>
        <w:spacing w:after="240" w:afterAutospacing="0"/>
        <w:jc w:val="left"/>
      </w:pPr>
      <w:r>
        <w:rPr>
          <w:rStyle w:val="5"/>
          <w:rFonts w:ascii="宋体" w:hAnsi="宋体" w:eastAsia="宋体" w:cs="宋体"/>
          <w:kern w:val="0"/>
          <w:sz w:val="24"/>
          <w:szCs w:val="24"/>
          <w:lang w:val="en-US" w:eastAsia="zh-CN" w:bidi="ar"/>
        </w:rPr>
        <w:t>22. 生育友好型社会</w:t>
      </w:r>
    </w:p>
    <w:p w14:paraId="2F3C28E6">
      <w:pPr>
        <w:pStyle w:val="2"/>
        <w:keepNext w:val="0"/>
        <w:keepLines w:val="0"/>
        <w:widowControl/>
        <w:suppressLineNumbers w:val="0"/>
      </w:pPr>
      <w:r>
        <w:t>生育友好型社会是指社会各方面尊重生育、支持生育的良好社会状态。政府通过提供覆盖全人群、全生命周期人口服务，完善和落实生育支持政策措施，广泛动员群众参与，在全社会形成有利于生育的婚嫁模式、文化和舆论氛围、激励机制、服务体系、市场条件等，旨在以良好的政策、社会、市场和家庭环境，降低生育养育教育成本，引导年轻人树立积极的婚恋观、生育观、家庭观，适龄婚育，夫妻共担育儿责任，建设文明幸福家庭，形成愿意生、生得出、生得起、养得好的良性循环，努力保持适度生育水平和人口规模。</w:t>
      </w:r>
    </w:p>
    <w:p w14:paraId="48D20461">
      <w:pPr>
        <w:pStyle w:val="2"/>
        <w:keepNext w:val="0"/>
        <w:keepLines w:val="0"/>
        <w:widowControl/>
        <w:suppressLineNumbers w:val="0"/>
      </w:pPr>
    </w:p>
    <w:p w14:paraId="5EA2AF8D">
      <w:pPr>
        <w:keepNext w:val="0"/>
        <w:keepLines w:val="0"/>
        <w:widowControl/>
        <w:suppressLineNumbers w:val="0"/>
        <w:spacing w:after="240" w:afterAutospacing="0"/>
        <w:jc w:val="left"/>
      </w:pPr>
      <w:r>
        <w:rPr>
          <w:rStyle w:val="5"/>
          <w:rFonts w:ascii="宋体" w:hAnsi="宋体" w:eastAsia="宋体" w:cs="宋体"/>
          <w:kern w:val="0"/>
          <w:sz w:val="24"/>
          <w:szCs w:val="24"/>
          <w:lang w:val="en-US" w:eastAsia="zh-CN" w:bidi="ar"/>
        </w:rPr>
        <w:t>23. 嵌入式托育</w:t>
      </w:r>
    </w:p>
    <w:p w14:paraId="78AEC8C4">
      <w:pPr>
        <w:pStyle w:val="2"/>
        <w:keepNext w:val="0"/>
        <w:keepLines w:val="0"/>
        <w:widowControl/>
        <w:suppressLineNumbers w:val="0"/>
      </w:pPr>
      <w:r>
        <w:t>嵌入式托育是指通过在社区（小区）的公共空间嵌入功能性设施，提供家门口的托育服务，形式包括为婴幼儿提供全日托、半日托、计时托、临时托等多种形式的照护服务。嵌入式托育坚持公益性与市场化相结合，注重发挥市场主体作用，以政府主导、社会参与、市场协同的模式运行。</w:t>
      </w:r>
    </w:p>
    <w:p w14:paraId="061601C9">
      <w:pPr>
        <w:pStyle w:val="2"/>
        <w:keepNext w:val="0"/>
        <w:keepLines w:val="0"/>
        <w:widowControl/>
        <w:suppressLineNumbers w:val="0"/>
      </w:pPr>
    </w:p>
    <w:p w14:paraId="3D1D05BD">
      <w:pPr>
        <w:keepNext w:val="0"/>
        <w:keepLines w:val="0"/>
        <w:widowControl/>
        <w:suppressLineNumbers w:val="0"/>
        <w:spacing w:after="240" w:afterAutospacing="0"/>
        <w:jc w:val="left"/>
      </w:pPr>
      <w:r>
        <w:rPr>
          <w:rStyle w:val="5"/>
          <w:rFonts w:ascii="宋体" w:hAnsi="宋体" w:eastAsia="宋体" w:cs="宋体"/>
          <w:kern w:val="0"/>
          <w:sz w:val="24"/>
          <w:szCs w:val="24"/>
          <w:lang w:val="en-US" w:eastAsia="zh-CN" w:bidi="ar"/>
        </w:rPr>
        <w:t>24.银发经济</w:t>
      </w:r>
    </w:p>
    <w:p w14:paraId="7A39E645">
      <w:pPr>
        <w:pStyle w:val="2"/>
        <w:keepNext w:val="0"/>
        <w:keepLines w:val="0"/>
        <w:widowControl/>
        <w:suppressLineNumbers w:val="0"/>
      </w:pPr>
      <w:r>
        <w:t>银发经济是向老年人提供产品或服务，以及为老龄阶段做准备等一系列经济活动的总和。其中既包括满足老年人就餐、就医、照护、文体等事业范畴的公共服务，又涵盖满足老龄群体和备老人群多层次、多样化产品和服务需求的各类市场经济活动，比如发展老年用品、智慧健康养老、康复辅助器具、抗衰老、养老金融产品、老年旅游服务、适老化改造等潜力产业。发展银发经济是积极应对人口老龄化，培育经济发展新动能，提高人民生活品质的重要举措和必然要求。</w:t>
      </w:r>
    </w:p>
    <w:p w14:paraId="143C381C">
      <w:pPr>
        <w:keepNext w:val="0"/>
        <w:keepLines w:val="0"/>
        <w:widowControl/>
        <w:suppressLineNumbers w:val="0"/>
        <w:spacing w:after="240" w:afterAutospacing="0"/>
        <w:jc w:val="left"/>
      </w:pPr>
      <w:r>
        <w:rPr>
          <w:rStyle w:val="5"/>
          <w:rFonts w:ascii="宋体" w:hAnsi="宋体" w:eastAsia="宋体" w:cs="宋体"/>
          <w:kern w:val="0"/>
          <w:sz w:val="24"/>
          <w:szCs w:val="24"/>
          <w:lang w:val="en-US" w:eastAsia="zh-CN" w:bidi="ar"/>
        </w:rPr>
        <w:t>25.碳足迹</w:t>
      </w:r>
    </w:p>
    <w:p w14:paraId="1BAE2B5F">
      <w:pPr>
        <w:pStyle w:val="2"/>
        <w:keepNext w:val="0"/>
        <w:keepLines w:val="0"/>
        <w:widowControl/>
        <w:suppressLineNumbers w:val="0"/>
      </w:pPr>
      <w:r>
        <w:t>碳足迹是指特定对象在一定时间内直接或间接导致的温室气体排放量和清除量之和，以二氧化碳当量表示。特定对象可以是个体、组织、国家、产品等。碳足迹可以用来反映人类活动对环境的影响，为实现温室气体减排提供参考。近年来，一些国家的政府正在尝试将碳足迹管理作为应对气候变化的政策工具，其中产品碳足迹应用最为广泛。加快构建我国碳足迹管理体系，有利于促进形成绿色低碳供应链和生产生活方式，增进碳足迹工作国际交流互信，助力实现碳达峰碳中和目标。</w:t>
      </w:r>
    </w:p>
    <w:p w14:paraId="713337FE">
      <w:pPr>
        <w:pStyle w:val="2"/>
        <w:keepNext w:val="0"/>
        <w:keepLines w:val="0"/>
        <w:widowControl/>
        <w:suppressLineNumbers w:val="0"/>
        <w:shd w:val="clear" w:fill="FFFFFF"/>
        <w:spacing w:after="0" w:afterAutospacing="0"/>
        <w:rPr>
          <w:rFonts w:hint="eastAsia" w:ascii="微软雅黑" w:hAnsi="微软雅黑" w:eastAsia="微软雅黑" w:cs="微软雅黑"/>
          <w:spacing w:val="7"/>
        </w:rPr>
      </w:pPr>
    </w:p>
    <w:p w14:paraId="75A9C0D3">
      <w:pPr>
        <w:keepNext w:val="0"/>
        <w:keepLines w:val="0"/>
        <w:widowControl/>
        <w:suppressLineNumbers w:val="0"/>
        <w:spacing w:after="240" w:afterAutospacing="0"/>
        <w:jc w:val="left"/>
      </w:pPr>
      <w:r>
        <w:rPr>
          <w:rStyle w:val="5"/>
          <w:rFonts w:ascii="宋体" w:hAnsi="宋体" w:eastAsia="宋体" w:cs="宋体"/>
          <w:kern w:val="0"/>
          <w:sz w:val="24"/>
          <w:szCs w:val="24"/>
          <w:lang w:val="en-US" w:eastAsia="zh-CN" w:bidi="ar"/>
        </w:rPr>
        <w:t>26.军品设计回报</w:t>
      </w:r>
    </w:p>
    <w:p w14:paraId="0257BF06">
      <w:pPr>
        <w:pStyle w:val="2"/>
        <w:keepNext w:val="0"/>
        <w:keepLines w:val="0"/>
        <w:widowControl/>
        <w:suppressLineNumbers w:val="0"/>
      </w:pPr>
      <w:r>
        <w:t>军品设计是对军品设计单位配合用户开展需求论证、关键技术开发与验证、型号设计与跟产服务等活动的统称。军品设计回报是对军品设计、制造单位之间利润分配的一种调控方式。当前，参与军品设计、制造的单位利润分配不够均衡，军品设计单位的科研智力投入、知识产权收益等难以得到充足保障，影响设计单位创新内生动力。建立军品设计回报机制，主要是通过明确不同类型军品设计的知识产权归属，调整知识产权使用费、跟产技术服务费取费比例，完善售后服务费保障模式等举措，进一步优化军品定价机制，使军品设计单位能够获得适当成本补偿，推动其提升高质量、可持续发展水平。</w:t>
      </w:r>
    </w:p>
    <w:p w14:paraId="04FF97FF">
      <w:pPr>
        <w:pStyle w:val="2"/>
        <w:keepNext w:val="0"/>
        <w:keepLines w:val="0"/>
        <w:widowControl/>
        <w:suppressLineNumbers w:val="0"/>
        <w:shd w:val="clear" w:fill="FFFFFF"/>
        <w:spacing w:after="0" w:afterAutospacing="0"/>
        <w:rPr>
          <w:rFonts w:hint="eastAsia" w:ascii="微软雅黑" w:hAnsi="微软雅黑" w:eastAsia="微软雅黑" w:cs="微软雅黑"/>
          <w:spacing w:val="7"/>
        </w:rPr>
      </w:pPr>
    </w:p>
    <w:p w14:paraId="69E4C14E">
      <w:pPr>
        <w:keepNext w:val="0"/>
        <w:keepLines w:val="0"/>
        <w:widowControl/>
        <w:suppressLineNumbers w:val="0"/>
        <w:spacing w:after="240" w:afterAutospacing="0"/>
        <w:jc w:val="left"/>
      </w:pPr>
      <w:r>
        <w:rPr>
          <w:rStyle w:val="5"/>
          <w:rFonts w:ascii="宋体" w:hAnsi="宋体" w:eastAsia="宋体" w:cs="宋体"/>
          <w:kern w:val="0"/>
          <w:sz w:val="24"/>
          <w:szCs w:val="24"/>
          <w:lang w:val="en-US" w:eastAsia="zh-CN" w:bidi="ar"/>
        </w:rPr>
        <w:t>27. 基本培训</w:t>
      </w:r>
    </w:p>
    <w:p w14:paraId="43DB2B0A">
      <w:pPr>
        <w:pStyle w:val="2"/>
        <w:keepNext w:val="0"/>
        <w:keepLines w:val="0"/>
        <w:widowControl/>
        <w:suppressLineNumbers w:val="0"/>
      </w:pPr>
      <w:r>
        <w:t>基本培训是指在干部教育培训中具有基础性、主体性、牵引性的培训任务，是教育培训机构尤其是党校最重要的、必须要完成的培训任务，是贯彻落实习近平总书记关于干部教育培训重要论述和党中央关于干部教育培训决策部署的重要举措，是实现全员培训、全面覆盖、全周期实施的关键之举。基本培训是一项系统工程，着力点是明确培训对象、培训内容、培训方式、培训学制、培训周期等关键要素，推动形成多要素融合、多环节贯通、多主体协同的培训新格局，实现干部教育培训宏观质量和微观质量相统一、共提升。基本培训的对象，就是各级党政领导干部、公务员、国有企业领导人员、事业单位领导人员、年轻干部、理论宣传骨干、高层次人才、基层干部、党员等。基本培训的内容，就是以深入学习贯彻习近平新时代中国特色社会主义思想为主题主线，以党的理论教育、党性教育和履职能力培训为重点，注重知识培训。基本培训的方式，就是坚持集中学习，有条件的要进行集中住校培训，严格学员管理；用好现代信息技术，运用线上线下相融合、直播录播相结合的方式，推动好课程、好资源向基层延伸覆盖。基本培训的学制，就是立足干部教育培训目标和对象的实际情况，科学设置培训班次的时长。基本培训的周期，就是根据党中央统一部署，按照党代会召开的周期，一般每五年制定实施一轮全国干部教育培训规划。同时，根据形势任务需要和具体情况作出弹性安排，确保干部学习的整体性、连贯性和有效性。基本培训的要求主要适用于各级党校，其他干部教育培训机构可参照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3B29C4"/>
    <w:rsid w:val="493B2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3</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2024-12-11T06:41:00Z</dcterms:created>
  <dc:creator>Administrator</dc:creator>
  <cp:lastModifiedBy>Administrator</cp:lastModifiedBy>
  <dcterms:modified xsi:type="dcterms:W3CDTF">2024-12-11T06:45:04Z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CDAA70CC990E447D9B758D4FED9FC9A6_11</vt:lpwstr>
  </property>
</Properties>
</file>